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id="0" w:name="PaperTitle"/>
      <w:bookmarkStart w:id="6" w:name="_GoBack"/>
      <w:bookmarkEnd w:id="6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护理专业技术人才晋升高级职称工作量要求</w:t>
      </w:r>
      <w:bookmarkEnd w:id="0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1" w:name="RealName"/>
      <w:r>
        <w:rPr>
          <w:rFonts w:hint="eastAsia" w:ascii="宋体" w:hAnsi="宋体"/>
          <w:bCs/>
          <w:sz w:val="24"/>
        </w:rPr>
        <w:t xml:space="preserve">何珍珍                  </w:t>
      </w:r>
      <w:bookmarkEnd w:id="1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2" w:name="Department"/>
      <w:r>
        <w:rPr>
          <w:rFonts w:hint="eastAsia" w:ascii="宋体" w:hAnsi="宋体"/>
          <w:bCs/>
          <w:sz w:val="24"/>
        </w:rPr>
        <w:t>妇科门诊</w:t>
      </w:r>
      <w:bookmarkEnd w:id="2"/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3" w:name="DeclareQualification"/>
      <w:r>
        <w:rPr>
          <w:rFonts w:hint="eastAsia" w:ascii="宋体" w:hAnsi="宋体"/>
          <w:bCs/>
          <w:sz w:val="24"/>
        </w:rPr>
        <w:t xml:space="preserve">副主任护师           </w:t>
      </w:r>
      <w:bookmarkEnd w:id="3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4" w:name="DeclareSpeciality"/>
      <w:r>
        <w:rPr>
          <w:rFonts w:hint="eastAsia" w:ascii="宋体" w:hAnsi="宋体"/>
          <w:bCs/>
          <w:sz w:val="24"/>
        </w:rPr>
        <w:t>护理学（妇产科护理）</w:t>
      </w:r>
      <w:bookmarkEnd w:id="4"/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id="5" w:name="PersonProperties"/>
      <w:r>
        <w:rPr>
          <w:rFonts w:hint="eastAsia" w:ascii="宋体" w:hAnsi="宋体"/>
          <w:bCs/>
          <w:sz w:val="24"/>
        </w:rPr>
        <w:t>非夜班岗位</w:t>
      </w:r>
      <w:bookmarkEnd w:id="5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6"/>
        <w:gridCol w:w="1414"/>
        <w:gridCol w:w="630"/>
        <w:gridCol w:w="924"/>
        <w:gridCol w:w="2353"/>
        <w:gridCol w:w="2365"/>
        <w:gridCol w:w="7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类别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晋升副主任护师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晋升主任护师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工作时长（临床、管理、教学且为夜班岗位）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平均每年参加临床护理、护理管理、护理教学工作时间总计≥40周。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平均每年参加临床护理、护理管理、护理教学工作时间总计≥35周。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护理学、助产学等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工作时长（非夜班岗位）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563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参加护理工作时间总计≥275 周。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参加护理工作时间总计≥225 周。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在岗工作量（责任护士和质控护士；或护理管理岗护士；或采供血机构护士）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483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条（责任护士和质控护士记录）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病历首页责任护士和质控护士记录累计不少于480条；或完成护理质量督导/教学督导记录不少于60条；或业务技术操作次数不少于3300次。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病历首页责任护士和质控护士记录累计不少于240条；或完成护理质量督导/教学督导记录不少于30条；或业务技术操作次数不少于2200次。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专业技术工作量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15.8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年均参加抢救危重患者、主持护理疑难病例讨论、主持专科护理查房、承担护理会诊、承担专题授课共≥5次（其中病例讨论、查房各≥1次）。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年均参加抢救危重患者、主持护理疑难病例讨论、主持专科护理查房、承担护理会诊、承担专题授课共≥10次（其中病例讨论、查房各≥2次）。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年均主持护理疑难病例讨论≥1次。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年均主持护理疑难病例讨论≥2次。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次/年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年均主持专科护理查房≥1次。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年均主持专科护理查房≥2次。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个/年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年均值夜班数≥15个。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年均值夜班数≥10个。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  <w:rsid w:val="5BFD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</Words>
  <Characters>75</Characters>
  <Lines>1</Lines>
  <Paragraphs>1</Paragraphs>
  <TotalTime>99</TotalTime>
  <ScaleCrop>false</ScaleCrop>
  <LinksUpToDate>false</LinksUpToDate>
  <CharactersWithSpaces>87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2015-08-11T07:49:00Z</cp:lastPrinted>
  <dcterms:modified xsi:type="dcterms:W3CDTF">2025-03-17T08:09:30Z</dcterms:modified>
  <dc:title>专业技术工作实例表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54F4E40B791146EEA60CE7B554EB595E</vt:lpwstr>
  </property>
</Properties>
</file>